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A35F" w14:textId="77777777" w:rsidR="00087C90" w:rsidRPr="00CC74AD" w:rsidRDefault="00305F02" w:rsidP="00305F0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74AD">
        <w:rPr>
          <w:rFonts w:ascii="標楷體" w:eastAsia="標楷體" w:hAnsi="標楷體" w:hint="eastAsia"/>
          <w:b/>
          <w:sz w:val="28"/>
          <w:szCs w:val="28"/>
        </w:rPr>
        <w:t>1</w:t>
      </w:r>
      <w:r w:rsidR="006F12AE">
        <w:rPr>
          <w:rFonts w:ascii="標楷體" w:eastAsia="標楷體" w:hAnsi="標楷體" w:hint="eastAsia"/>
          <w:b/>
          <w:sz w:val="28"/>
          <w:szCs w:val="28"/>
        </w:rPr>
        <w:t>1</w:t>
      </w:r>
      <w:r w:rsidR="00E82555">
        <w:rPr>
          <w:rFonts w:ascii="標楷體" w:eastAsia="標楷體" w:hAnsi="標楷體" w:hint="eastAsia"/>
          <w:b/>
          <w:sz w:val="28"/>
          <w:szCs w:val="28"/>
        </w:rPr>
        <w:t>3</w:t>
      </w:r>
      <w:r w:rsidRPr="00CC74AD">
        <w:rPr>
          <w:rFonts w:ascii="標楷體" w:eastAsia="標楷體" w:hAnsi="標楷體" w:hint="eastAsia"/>
          <w:b/>
          <w:sz w:val="28"/>
          <w:szCs w:val="28"/>
        </w:rPr>
        <w:t>學年度中興商工性別平等教育融入教學教案設計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0"/>
        <w:gridCol w:w="3240"/>
        <w:gridCol w:w="1416"/>
        <w:gridCol w:w="425"/>
        <w:gridCol w:w="780"/>
        <w:gridCol w:w="1083"/>
      </w:tblGrid>
      <w:tr w:rsidR="00305F02" w:rsidRPr="00CC74AD" w14:paraId="58565D43" w14:textId="77777777" w:rsidTr="00CC74AD">
        <w:trPr>
          <w:trHeight w:val="454"/>
        </w:trPr>
        <w:tc>
          <w:tcPr>
            <w:tcW w:w="841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1F7849" w14:textId="507D7B3A" w:rsidR="007363D2" w:rsidRPr="00CC74AD" w:rsidRDefault="00305F02">
            <w:pPr>
              <w:rPr>
                <w:rFonts w:ascii="標楷體" w:eastAsia="標楷體" w:hAnsi="標楷體" w:hint="eastAsia"/>
              </w:rPr>
            </w:pPr>
            <w:r w:rsidRPr="00CC74AD">
              <w:rPr>
                <w:rFonts w:ascii="標楷體" w:eastAsia="標楷體" w:hAnsi="標楷體" w:hint="eastAsia"/>
              </w:rPr>
              <w:t>主題:</w:t>
            </w:r>
            <w:r w:rsidR="00964735">
              <w:rPr>
                <w:rFonts w:ascii="標楷體" w:eastAsia="標楷體" w:hAnsi="標楷體" w:hint="eastAsia"/>
              </w:rPr>
              <w:t>世說新語</w:t>
            </w:r>
            <w:r w:rsidR="007363D2">
              <w:rPr>
                <w:rFonts w:ascii="標楷體" w:eastAsia="標楷體" w:hAnsi="標楷體" w:hint="eastAsia"/>
              </w:rPr>
              <w:t>之男女沒有大不同</w:t>
            </w:r>
          </w:p>
        </w:tc>
      </w:tr>
      <w:tr w:rsidR="00305F02" w:rsidRPr="00CC74AD" w14:paraId="5C35928B" w14:textId="77777777" w:rsidTr="00CC74AD">
        <w:trPr>
          <w:trHeight w:val="1935"/>
        </w:trPr>
        <w:tc>
          <w:tcPr>
            <w:tcW w:w="841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562D5" w14:textId="77777777" w:rsidR="00305F02" w:rsidRDefault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主要性別平等教育學習內涵:</w:t>
            </w:r>
          </w:p>
          <w:p w14:paraId="05619390" w14:textId="77777777" w:rsidR="007363D2" w:rsidRDefault="007363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一、分析女性主義在現代社會的應用意義</w:t>
            </w:r>
          </w:p>
          <w:p w14:paraId="54255E40" w14:textId="77777777" w:rsidR="007363D2" w:rsidRDefault="007363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二、讓學生了解男女生並無差異</w:t>
            </w:r>
          </w:p>
          <w:p w14:paraId="0444BDE4" w14:textId="155F9DFA" w:rsidR="007363D2" w:rsidRPr="00CC74AD" w:rsidRDefault="007363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三、讓學生在兩性之間學習良性溝通</w:t>
            </w:r>
          </w:p>
        </w:tc>
      </w:tr>
      <w:tr w:rsidR="00305F02" w:rsidRPr="00CC74AD" w14:paraId="3B36B42F" w14:textId="77777777" w:rsidTr="000A00F9"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14:paraId="0E43B99D" w14:textId="77777777"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融入單元</w:t>
            </w:r>
          </w:p>
        </w:tc>
        <w:tc>
          <w:tcPr>
            <w:tcW w:w="3240" w:type="dxa"/>
            <w:vAlign w:val="center"/>
          </w:tcPr>
          <w:p w14:paraId="57346AB7" w14:textId="1C32A16B" w:rsidR="00305F02" w:rsidRPr="00CC74AD" w:rsidRDefault="007363D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世說新語</w:t>
            </w:r>
          </w:p>
        </w:tc>
        <w:tc>
          <w:tcPr>
            <w:tcW w:w="1841" w:type="dxa"/>
            <w:gridSpan w:val="2"/>
            <w:vAlign w:val="center"/>
          </w:tcPr>
          <w:p w14:paraId="10EECE8B" w14:textId="77777777"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適用年級</w:t>
            </w:r>
            <w:r w:rsidR="00CC74AD">
              <w:rPr>
                <w:rFonts w:ascii="標楷體" w:eastAsia="標楷體" w:hAnsi="標楷體" w:hint="eastAsia"/>
                <w:color w:val="000000"/>
                <w:szCs w:val="18"/>
              </w:rPr>
              <w:t>/班級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347658BA" w14:textId="4FC9EE63" w:rsidR="00305F02" w:rsidRPr="00CC74AD" w:rsidRDefault="007363D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一年級乙班</w:t>
            </w:r>
          </w:p>
        </w:tc>
      </w:tr>
      <w:tr w:rsidR="00305F02" w:rsidRPr="00CC74AD" w14:paraId="0E6CFAC1" w14:textId="77777777" w:rsidTr="000A00F9"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14:paraId="3CAB3608" w14:textId="77777777"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設計者</w:t>
            </w:r>
          </w:p>
        </w:tc>
        <w:tc>
          <w:tcPr>
            <w:tcW w:w="3240" w:type="dxa"/>
            <w:vAlign w:val="center"/>
          </w:tcPr>
          <w:p w14:paraId="0F44AB46" w14:textId="5F9FB7D1" w:rsidR="00305F02" w:rsidRPr="00CC74AD" w:rsidRDefault="007363D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邱維楷</w:t>
            </w:r>
          </w:p>
        </w:tc>
        <w:tc>
          <w:tcPr>
            <w:tcW w:w="1841" w:type="dxa"/>
            <w:gridSpan w:val="2"/>
            <w:vAlign w:val="center"/>
          </w:tcPr>
          <w:p w14:paraId="586B5227" w14:textId="77777777" w:rsidR="00305F02" w:rsidRPr="00CC74AD" w:rsidRDefault="000A00F9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日期/</w:t>
            </w:r>
            <w:r w:rsidR="00305F02" w:rsidRPr="00CC74AD">
              <w:rPr>
                <w:rFonts w:ascii="標楷體" w:eastAsia="標楷體" w:hAnsi="標楷體" w:hint="eastAsia"/>
                <w:color w:val="000000"/>
                <w:szCs w:val="18"/>
              </w:rPr>
              <w:t>時間/節數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283B8513" w14:textId="1C004B24" w:rsidR="00305F02" w:rsidRPr="00CC74AD" w:rsidRDefault="007363D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1</w:t>
            </w:r>
            <w:r>
              <w:rPr>
                <w:rFonts w:ascii="標楷體" w:eastAsia="標楷體" w:hAnsi="標楷體"/>
                <w:color w:val="000000"/>
                <w:szCs w:val="18"/>
              </w:rPr>
              <w:t>13/10/08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，</w:t>
            </w:r>
            <w:r>
              <w:rPr>
                <w:rFonts w:ascii="標楷體" w:eastAsia="標楷體" w:hAnsi="標楷體"/>
                <w:color w:val="000000"/>
                <w:szCs w:val="18"/>
              </w:rPr>
              <w:t>50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分鐘，一節</w:t>
            </w:r>
          </w:p>
        </w:tc>
      </w:tr>
      <w:tr w:rsidR="00305F02" w:rsidRPr="00CC74AD" w14:paraId="7CB7A6B0" w14:textId="77777777" w:rsidTr="000A00F9"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14:paraId="05DC7138" w14:textId="77777777"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性別平等教育議題</w:t>
            </w:r>
          </w:p>
          <w:p w14:paraId="74F0202C" w14:textId="77777777"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(請圈選，可複選)</w:t>
            </w:r>
          </w:p>
        </w:tc>
        <w:tc>
          <w:tcPr>
            <w:tcW w:w="3240" w:type="dxa"/>
            <w:vAlign w:val="center"/>
          </w:tcPr>
          <w:p w14:paraId="3B0F25FB" w14:textId="1F68CDD8" w:rsidR="00305F02" w:rsidRPr="00CC74AD" w:rsidRDefault="007363D2" w:rsidP="00305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 w:rsidR="00305F02" w:rsidRPr="00CC74AD">
              <w:rPr>
                <w:rFonts w:ascii="標楷體" w:eastAsia="標楷體" w:hAnsi="標楷體" w:hint="eastAsia"/>
              </w:rPr>
              <w:t>性別平等教育</w:t>
            </w:r>
          </w:p>
          <w:p w14:paraId="4F30DA89" w14:textId="77777777"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□性侵害、性騷擾及性霸凌防治</w:t>
            </w:r>
          </w:p>
          <w:p w14:paraId="203C9722" w14:textId="77777777"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□反歧視、尊重多元課程</w:t>
            </w:r>
          </w:p>
          <w:p w14:paraId="4F7EB344" w14:textId="27678FB3" w:rsidR="00305F02" w:rsidRPr="00CC74AD" w:rsidRDefault="007363D2" w:rsidP="00305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 w:rsidR="00305F02" w:rsidRPr="00CC74AD">
              <w:rPr>
                <w:rFonts w:ascii="標楷體" w:eastAsia="標楷體" w:hAnsi="標楷體"/>
              </w:rPr>
              <w:t>家庭生活教育</w:t>
            </w:r>
          </w:p>
          <w:p w14:paraId="4AB00F38" w14:textId="6EC31EB1" w:rsidR="00305F02" w:rsidRPr="00CC74AD" w:rsidRDefault="007363D2" w:rsidP="00305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 w:rsidR="00305F02" w:rsidRPr="00CC74AD">
              <w:rPr>
                <w:rFonts w:ascii="標楷體" w:eastAsia="標楷體" w:hAnsi="標楷體"/>
              </w:rPr>
              <w:t>親職教育</w:t>
            </w:r>
          </w:p>
          <w:p w14:paraId="5F44B72D" w14:textId="77777777"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□家庭/親密關係暴力防治</w:t>
            </w:r>
          </w:p>
          <w:p w14:paraId="6A341F66" w14:textId="3CE94056" w:rsidR="00305F02" w:rsidRPr="00CC74AD" w:rsidRDefault="007363D2" w:rsidP="00305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 w:rsidR="00305F02" w:rsidRPr="00CC74AD">
              <w:rPr>
                <w:rFonts w:ascii="標楷體" w:eastAsia="標楷體" w:hAnsi="標楷體"/>
              </w:rPr>
              <w:t>性教育</w:t>
            </w:r>
          </w:p>
          <w:p w14:paraId="6CA57507" w14:textId="77777777"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□性剝削、人口販賣之防治</w:t>
            </w:r>
          </w:p>
          <w:p w14:paraId="228779BE" w14:textId="77777777"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lastRenderedPageBreak/>
              <w:t>□</w:t>
            </w:r>
            <w:r w:rsidRPr="00CC74AD">
              <w:rPr>
                <w:rFonts w:ascii="標楷體" w:eastAsia="標楷體" w:hAnsi="標楷體"/>
              </w:rPr>
              <w:t>自我成長團體</w:t>
            </w:r>
          </w:p>
          <w:p w14:paraId="42562C97" w14:textId="77777777"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□無性別區隔的職涯規劃</w:t>
            </w:r>
          </w:p>
          <w:p w14:paraId="7EF96A07" w14:textId="72A095D6" w:rsidR="00305F02" w:rsidRPr="00CC74AD" w:rsidRDefault="007363D2" w:rsidP="00305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 w:rsidR="00305F02" w:rsidRPr="00CC74AD">
              <w:rPr>
                <w:rFonts w:ascii="標楷體" w:eastAsia="標楷體" w:hAnsi="標楷體" w:hint="eastAsia"/>
              </w:rPr>
              <w:t>職場之性別歧視議題</w:t>
            </w:r>
            <w:r w:rsidR="00305F02" w:rsidRPr="00CC74AD">
              <w:rPr>
                <w:rFonts w:ascii="標楷體" w:eastAsia="標楷體" w:hAnsi="標楷體"/>
              </w:rPr>
              <w:t>(</w:t>
            </w:r>
            <w:r w:rsidR="00305F02" w:rsidRPr="00CC74AD">
              <w:rPr>
                <w:rFonts w:ascii="標楷體" w:eastAsia="標楷體" w:hAnsi="標楷體" w:hint="eastAsia"/>
              </w:rPr>
              <w:t>雇用機會、薪資、刻板印象、性騷擾等</w:t>
            </w:r>
            <w:r w:rsidR="00305F02" w:rsidRPr="00CC74AD">
              <w:rPr>
                <w:rFonts w:ascii="標楷體" w:eastAsia="標楷體" w:hAnsi="標楷體"/>
              </w:rPr>
              <w:t>)</w:t>
            </w:r>
          </w:p>
          <w:p w14:paraId="41659231" w14:textId="77777777"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□同志教育</w:t>
            </w:r>
          </w:p>
          <w:p w14:paraId="70A6412F" w14:textId="77777777"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□多元性別教育</w:t>
            </w:r>
          </w:p>
          <w:p w14:paraId="351F8AAE" w14:textId="64405ED4" w:rsidR="00305F02" w:rsidRPr="00CC74AD" w:rsidRDefault="007363D2" w:rsidP="00305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 w:rsidR="00305F02" w:rsidRPr="00CC74AD">
              <w:rPr>
                <w:rFonts w:ascii="標楷體" w:eastAsia="標楷體" w:hAnsi="標楷體" w:hint="eastAsia"/>
              </w:rPr>
              <w:t>情感教育</w:t>
            </w:r>
          </w:p>
          <w:p w14:paraId="1618108D" w14:textId="77777777"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其他</w:t>
            </w:r>
            <w:r w:rsidRPr="00CC74AD">
              <w:rPr>
                <w:rFonts w:ascii="標楷體" w:eastAsia="標楷體" w:hAnsi="標楷體" w:hint="eastAsia"/>
              </w:rPr>
              <w:t>：_______________</w:t>
            </w:r>
          </w:p>
        </w:tc>
        <w:tc>
          <w:tcPr>
            <w:tcW w:w="1841" w:type="dxa"/>
            <w:gridSpan w:val="2"/>
            <w:vAlign w:val="center"/>
          </w:tcPr>
          <w:p w14:paraId="343FB4CF" w14:textId="77777777"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lastRenderedPageBreak/>
              <w:t>實施方式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0B083CE6" w14:textId="77777777" w:rsidR="00305F02" w:rsidRPr="00CC74AD" w:rsidRDefault="00305F02" w:rsidP="00923799">
            <w:pPr>
              <w:ind w:leftChars="1" w:left="511" w:hangingChars="212" w:hanging="509"/>
              <w:jc w:val="center"/>
              <w:rPr>
                <w:rFonts w:ascii="標楷體" w:eastAsia="標楷體" w:hAnsi="標楷體"/>
                <w:color w:val="000000"/>
              </w:rPr>
            </w:pPr>
            <w:r w:rsidRPr="00CC74AD">
              <w:rPr>
                <w:rFonts w:ascii="標楷體" w:eastAsia="標楷體" w:hAnsi="標楷體" w:hint="eastAsia"/>
                <w:color w:val="000000"/>
              </w:rPr>
              <w:t>□主題式教學</w:t>
            </w:r>
          </w:p>
          <w:p w14:paraId="5614F2E9" w14:textId="0DC97592" w:rsidR="00305F02" w:rsidRPr="00CC74AD" w:rsidRDefault="007363D2" w:rsidP="00923799">
            <w:pPr>
              <w:ind w:leftChars="1" w:left="511" w:hangingChars="212" w:hanging="5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  <w:r w:rsidR="00305F02" w:rsidRPr="00CC74AD">
              <w:rPr>
                <w:rFonts w:ascii="標楷體" w:eastAsia="標楷體" w:hAnsi="標楷體" w:hint="eastAsia"/>
                <w:color w:val="000000"/>
              </w:rPr>
              <w:t>融入式教學</w:t>
            </w:r>
          </w:p>
        </w:tc>
      </w:tr>
      <w:tr w:rsidR="00305F02" w:rsidRPr="00CC74AD" w14:paraId="0F4DAEAE" w14:textId="77777777" w:rsidTr="00CC74AD">
        <w:trPr>
          <w:trHeight w:val="966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14:paraId="2C82AA2C" w14:textId="77777777" w:rsidR="00305F02" w:rsidRPr="00CC74AD" w:rsidRDefault="00305F02" w:rsidP="009237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教學目標</w:t>
            </w:r>
          </w:p>
        </w:tc>
        <w:tc>
          <w:tcPr>
            <w:tcW w:w="6944" w:type="dxa"/>
            <w:gridSpan w:val="5"/>
            <w:tcBorders>
              <w:right w:val="single" w:sz="18" w:space="0" w:color="auto"/>
            </w:tcBorders>
            <w:vAlign w:val="center"/>
          </w:tcPr>
          <w:p w14:paraId="2BC713C1" w14:textId="29CD05F4" w:rsidR="00305F02" w:rsidRPr="00CC74AD" w:rsidRDefault="00482E6B" w:rsidP="00923799">
            <w:pPr>
              <w:spacing w:line="280" w:lineRule="exact"/>
              <w:ind w:left="152"/>
              <w:rPr>
                <w:rFonts w:ascii="標楷體" w:eastAsia="標楷體" w:hAnsi="標楷體" w:hint="eastAsia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讓學生了解當時代女性的生活背景之不易，良性與有效的溝通，與職場上的玻璃天花板，使學生有好的溝通方式。</w:t>
            </w:r>
          </w:p>
        </w:tc>
      </w:tr>
      <w:tr w:rsidR="00305F02" w:rsidRPr="00CC74AD" w14:paraId="1AC77108" w14:textId="77777777" w:rsidTr="00CC74AD">
        <w:trPr>
          <w:trHeight w:val="1122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14:paraId="3232FB57" w14:textId="77777777" w:rsidR="00305F02" w:rsidRPr="00CC74AD" w:rsidRDefault="00CC74AD" w:rsidP="00923799">
            <w:pPr>
              <w:pStyle w:val="1"/>
              <w:adjustRightInd/>
              <w:jc w:val="center"/>
              <w:textAlignment w:val="auto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設計構想</w:t>
            </w:r>
          </w:p>
        </w:tc>
        <w:tc>
          <w:tcPr>
            <w:tcW w:w="6944" w:type="dxa"/>
            <w:gridSpan w:val="5"/>
            <w:tcBorders>
              <w:right w:val="single" w:sz="18" w:space="0" w:color="auto"/>
            </w:tcBorders>
            <w:vAlign w:val="center"/>
          </w:tcPr>
          <w:p w14:paraId="68E0FFEF" w14:textId="7CB8815C" w:rsidR="00305F02" w:rsidRPr="00CC74AD" w:rsidRDefault="00305F02" w:rsidP="00305F02">
            <w:pPr>
              <w:pStyle w:val="a3"/>
              <w:rPr>
                <w:rFonts w:ascii="標楷體" w:eastAsia="標楷體" w:hAnsi="標楷體" w:hint="eastAsia"/>
                <w:color w:val="000000"/>
              </w:rPr>
            </w:pPr>
            <w:r w:rsidRPr="00CC74AD">
              <w:rPr>
                <w:rFonts w:ascii="標楷體" w:eastAsia="標楷體" w:hAnsi="標楷體"/>
                <w:color w:val="000000"/>
              </w:rPr>
              <w:t xml:space="preserve"> </w:t>
            </w:r>
            <w:r w:rsidR="00482E6B">
              <w:rPr>
                <w:rFonts w:ascii="標楷體" w:eastAsia="標楷體" w:hAnsi="標楷體" w:hint="eastAsia"/>
                <w:color w:val="000000"/>
              </w:rPr>
              <w:t>了解女性主義在文學中的意義，父系社會中的溝通並沒有辦法友善的到達女性的場域，讓學生了解其中的不容易，並在我們這一代可以獲得有效的改善。</w:t>
            </w:r>
          </w:p>
        </w:tc>
      </w:tr>
      <w:tr w:rsidR="00CC74AD" w:rsidRPr="00CC74AD" w14:paraId="20906FB4" w14:textId="77777777" w:rsidTr="00CC74AD">
        <w:trPr>
          <w:trHeight w:val="934"/>
        </w:trPr>
        <w:tc>
          <w:tcPr>
            <w:tcW w:w="14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480763" w14:textId="77777777" w:rsidR="00CC74AD" w:rsidRPr="00CC74AD" w:rsidRDefault="00CC74AD" w:rsidP="00923799">
            <w:pPr>
              <w:pStyle w:val="1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學習資源</w:t>
            </w:r>
          </w:p>
        </w:tc>
        <w:tc>
          <w:tcPr>
            <w:tcW w:w="694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5045BF" w14:textId="02254DEB" w:rsidR="00CC74AD" w:rsidRPr="00CC74AD" w:rsidRDefault="00482E6B" w:rsidP="00305F02">
            <w:pPr>
              <w:pStyle w:val="a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課本、投影片、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youtube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影片</w:t>
            </w:r>
          </w:p>
        </w:tc>
      </w:tr>
      <w:tr w:rsidR="00305F02" w:rsidRPr="00CC74AD" w14:paraId="1FB2D11B" w14:textId="77777777" w:rsidTr="00CC74AD">
        <w:tc>
          <w:tcPr>
            <w:tcW w:w="1108" w:type="dxa"/>
            <w:tcBorders>
              <w:top w:val="single" w:sz="18" w:space="0" w:color="auto"/>
              <w:left w:val="single" w:sz="18" w:space="0" w:color="auto"/>
            </w:tcBorders>
          </w:tcPr>
          <w:p w14:paraId="601A1286" w14:textId="77777777"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學習目標</w:t>
            </w:r>
          </w:p>
        </w:tc>
        <w:tc>
          <w:tcPr>
            <w:tcW w:w="5016" w:type="dxa"/>
            <w:gridSpan w:val="3"/>
            <w:tcBorders>
              <w:top w:val="single" w:sz="18" w:space="0" w:color="auto"/>
            </w:tcBorders>
          </w:tcPr>
          <w:p w14:paraId="6345791E" w14:textId="77777777"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活動名稱與流程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</w:tcBorders>
          </w:tcPr>
          <w:p w14:paraId="7B4456F3" w14:textId="77777777"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教學策略</w:t>
            </w:r>
          </w:p>
          <w:p w14:paraId="07C8AD6E" w14:textId="4750F6FB" w:rsidR="00482E6B" w:rsidRPr="00CC74AD" w:rsidRDefault="00305F02" w:rsidP="00482E6B">
            <w:pPr>
              <w:pStyle w:val="1"/>
              <w:adjustRightInd/>
              <w:jc w:val="center"/>
              <w:textAlignment w:val="auto"/>
              <w:rPr>
                <w:rFonts w:ascii="標楷體" w:eastAsia="標楷體" w:hAnsi="標楷體" w:hint="eastAsia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教具使用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18" w:space="0" w:color="auto"/>
            </w:tcBorders>
          </w:tcPr>
          <w:p w14:paraId="38B1FFE5" w14:textId="77777777"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教學</w:t>
            </w: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重點</w:t>
            </w:r>
          </w:p>
        </w:tc>
      </w:tr>
      <w:tr w:rsidR="00305F02" w:rsidRPr="00CC74AD" w14:paraId="23819736" w14:textId="77777777" w:rsidTr="00CC74AD">
        <w:trPr>
          <w:trHeight w:val="4220"/>
        </w:trPr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0CB547" w14:textId="0C3E28A5" w:rsidR="00305F02" w:rsidRPr="00CC74AD" w:rsidRDefault="00482E6B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一、性別認識</w:t>
            </w:r>
          </w:p>
          <w:p w14:paraId="44932EAC" w14:textId="77777777" w:rsidR="00305F02" w:rsidRPr="00CC74AD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14:paraId="5D725A11" w14:textId="3318CA3F" w:rsidR="00305F02" w:rsidRPr="00CC74AD" w:rsidRDefault="00482E6B" w:rsidP="00923799">
            <w:pPr>
              <w:ind w:left="120" w:hanging="12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二、父系社會的女性群像</w:t>
            </w:r>
          </w:p>
          <w:p w14:paraId="06F6395D" w14:textId="77777777" w:rsidR="00305F02" w:rsidRPr="00CC74AD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14:paraId="2F034994" w14:textId="77777777" w:rsidR="00305F02" w:rsidRPr="00CC74AD" w:rsidRDefault="00305F02" w:rsidP="0092379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14:paraId="2C2A6D5C" w14:textId="201CA8C1" w:rsidR="00305F02" w:rsidRPr="00CC74AD" w:rsidRDefault="00565A88" w:rsidP="00923799">
            <w:pPr>
              <w:ind w:left="120" w:hanging="120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三、玻璃天花板</w:t>
            </w:r>
          </w:p>
          <w:p w14:paraId="72B23DE8" w14:textId="77777777" w:rsidR="00305F02" w:rsidRPr="00CC74AD" w:rsidRDefault="00305F02" w:rsidP="0092379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14:paraId="3AFDE52B" w14:textId="77777777" w:rsidR="00305F02" w:rsidRPr="00CC74AD" w:rsidRDefault="00305F02" w:rsidP="0092379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14:paraId="2A670812" w14:textId="2DD47B25" w:rsidR="00305F02" w:rsidRPr="00565A88" w:rsidRDefault="00565A88" w:rsidP="00565A88">
            <w:pPr>
              <w:ind w:left="120" w:hanging="120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四、反觀男性的處境與家事分配等</w:t>
            </w:r>
          </w:p>
        </w:tc>
        <w:tc>
          <w:tcPr>
            <w:tcW w:w="501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C565461" w14:textId="0AE01580" w:rsidR="00482E6B" w:rsidRDefault="00565A88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一、</w:t>
            </w:r>
            <w:r w:rsidR="00482E6B">
              <w:rPr>
                <w:rFonts w:ascii="標楷體" w:eastAsia="標楷體" w:hAnsi="標楷體" w:hint="eastAsia"/>
                <w:szCs w:val="18"/>
              </w:rPr>
              <w:t>讓學生先了解彼此之間的差異，先有男女生不同的觀念，才進而可以去認識其中並沒有什麼特殊的差異</w:t>
            </w:r>
          </w:p>
          <w:p w14:paraId="649D5343" w14:textId="383DBE4D" w:rsidR="00482E6B" w:rsidRDefault="00565A88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二、</w:t>
            </w:r>
            <w:r w:rsidR="00482E6B">
              <w:rPr>
                <w:rFonts w:ascii="標楷體" w:eastAsia="標楷體" w:hAnsi="標楷體" w:hint="eastAsia"/>
                <w:szCs w:val="18"/>
              </w:rPr>
              <w:t>在父系社會中，我們可以在女性的所有形象中看到女生可以</w:t>
            </w:r>
            <w:r>
              <w:rPr>
                <w:rFonts w:ascii="標楷體" w:eastAsia="標楷體" w:hAnsi="標楷體" w:hint="eastAsia"/>
                <w:szCs w:val="18"/>
              </w:rPr>
              <w:t>是女兒可以是老婆可以是媽媽可以是媳婦，但這些群像基本上都是在父系社會的威壓之下，本章節可以了解女性的群像之外，也必須我們同理當時女性的情形，進而去分析女性身處的處境。</w:t>
            </w:r>
          </w:p>
          <w:p w14:paraId="73924D67" w14:textId="183CC7F0" w:rsidR="00565A88" w:rsidRDefault="00565A88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三、雖然女性的處境到現在已經有所改善，但是對於職場的玻璃天花板也是仍然沒有大多改善，請分析出玻璃天花板可能的處境並且加以分析可能存在的隱憂</w:t>
            </w:r>
          </w:p>
          <w:p w14:paraId="4DAD61CC" w14:textId="40B44D22" w:rsidR="00565A88" w:rsidRPr="00482E6B" w:rsidRDefault="00565A88" w:rsidP="00923799">
            <w:pPr>
              <w:spacing w:beforeLines="20" w:before="72"/>
              <w:jc w:val="both"/>
              <w:rPr>
                <w:rFonts w:ascii="標楷體" w:eastAsia="標楷體" w:hAnsi="標楷體" w:hint="eastAsia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四、在女性權益高漲的情形下，男性的地位是否有所改變，或者在家事分配上，是否有過多的不平之事存在，這是在女性權益提升的情況下我們必須要去反思的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8D9EFC" w14:textId="24F55F69" w:rsidR="00305F02" w:rsidRPr="00CC74AD" w:rsidRDefault="00565A88" w:rsidP="00923799">
            <w:pPr>
              <w:spacing w:beforeLines="20" w:before="72"/>
              <w:jc w:val="both"/>
              <w:rPr>
                <w:rFonts w:ascii="標楷體" w:eastAsia="標楷體" w:hAnsi="標楷體" w:hint="eastAsia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影片、投影片、課本</w:t>
            </w: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8F6AA" w14:textId="77777777" w:rsidR="00305F02" w:rsidRDefault="00565A88" w:rsidP="0092379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一、了解彼此的一樣與不一樣，十分鐘</w:t>
            </w:r>
          </w:p>
          <w:p w14:paraId="398B3FFC" w14:textId="77777777" w:rsidR="00565A88" w:rsidRDefault="00565A88" w:rsidP="0092379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  <w:p w14:paraId="7C64EA7A" w14:textId="77777777" w:rsidR="00565A88" w:rsidRDefault="00565A88" w:rsidP="0092379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  <w:p w14:paraId="4A0356BE" w14:textId="77777777" w:rsidR="00565A88" w:rsidRDefault="00565A88" w:rsidP="00923799">
            <w:pPr>
              <w:spacing w:beforeLines="20" w:before="72"/>
              <w:rPr>
                <w:rFonts w:ascii="Apple Color Emoji" w:eastAsia="標楷體" w:hAnsi="Apple Color Emoji" w:cs="Apple Color Emoj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二、女生可以分析自己的可能身份，並且提出自己的可能性，十五分</w:t>
            </w:r>
            <w:r>
              <w:rPr>
                <w:rFonts w:ascii="Apple Color Emoji" w:eastAsia="標楷體" w:hAnsi="Apple Color Emoji" w:cs="Apple Color Emoji" w:hint="eastAsia"/>
                <w:sz w:val="20"/>
                <w:szCs w:val="20"/>
              </w:rPr>
              <w:t>鐘</w:t>
            </w:r>
          </w:p>
          <w:p w14:paraId="5770CBDB" w14:textId="77777777" w:rsidR="00565A88" w:rsidRDefault="00565A88" w:rsidP="00923799">
            <w:pPr>
              <w:spacing w:beforeLines="20" w:before="72"/>
              <w:rPr>
                <w:rFonts w:ascii="Apple Color Emoji" w:eastAsia="標楷體" w:hAnsi="Apple Color Emoji" w:cs="Apple Color Emoji"/>
                <w:sz w:val="20"/>
                <w:szCs w:val="20"/>
              </w:rPr>
            </w:pPr>
          </w:p>
          <w:p w14:paraId="23CBA501" w14:textId="77777777" w:rsidR="00565A88" w:rsidRDefault="00565A88" w:rsidP="00923799">
            <w:pPr>
              <w:spacing w:beforeLines="20" w:before="72"/>
              <w:rPr>
                <w:rFonts w:ascii="Apple Color Emoji" w:eastAsia="標楷體" w:hAnsi="Apple Color Emoji" w:cs="Apple Color Emoji"/>
                <w:sz w:val="20"/>
                <w:szCs w:val="20"/>
              </w:rPr>
            </w:pPr>
          </w:p>
          <w:p w14:paraId="6AB9F29D" w14:textId="77777777" w:rsidR="00565A88" w:rsidRDefault="00565A88" w:rsidP="00923799">
            <w:pPr>
              <w:spacing w:beforeLines="20" w:before="72"/>
              <w:rPr>
                <w:rFonts w:ascii="Apple Color Emoji" w:eastAsia="標楷體" w:hAnsi="Apple Color Emoji" w:cs="Apple Color Emoji"/>
                <w:sz w:val="20"/>
                <w:szCs w:val="20"/>
              </w:rPr>
            </w:pPr>
          </w:p>
          <w:p w14:paraId="0239A36D" w14:textId="77777777" w:rsidR="00565A88" w:rsidRDefault="00565A88" w:rsidP="00923799">
            <w:pPr>
              <w:spacing w:beforeLines="20" w:before="72"/>
              <w:rPr>
                <w:rFonts w:ascii="Apple Color Emoji" w:eastAsia="標楷體" w:hAnsi="Apple Color Emoji" w:cs="Apple Color Emoji"/>
                <w:sz w:val="20"/>
                <w:szCs w:val="20"/>
              </w:rPr>
            </w:pPr>
          </w:p>
          <w:p w14:paraId="5B189F20" w14:textId="77777777" w:rsidR="00565A88" w:rsidRDefault="00565A88" w:rsidP="0092379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三、在職場的玻璃天花板可以讓學生去了解當時可能的微妙隱憂，並且提出可能的解方或想法</w:t>
            </w:r>
          </w:p>
          <w:p w14:paraId="67DC5F70" w14:textId="77777777" w:rsidR="00565A88" w:rsidRDefault="00565A88" w:rsidP="0092379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  <w:p w14:paraId="4718F526" w14:textId="7261D27A" w:rsidR="00565A88" w:rsidRPr="00CC74AD" w:rsidRDefault="00565A88" w:rsidP="00923799">
            <w:pPr>
              <w:spacing w:beforeLines="20" w:before="7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四、於男性而言，是否又反過來會受到壓迫？</w:t>
            </w:r>
          </w:p>
        </w:tc>
      </w:tr>
    </w:tbl>
    <w:p w14:paraId="3D92B561" w14:textId="77777777" w:rsidR="00305F02" w:rsidRPr="00CC74AD" w:rsidRDefault="00305F02">
      <w:pPr>
        <w:rPr>
          <w:rFonts w:ascii="標楷體" w:eastAsia="標楷體" w:hAnsi="標楷體" w:hint="eastAsia"/>
        </w:rPr>
      </w:pPr>
    </w:p>
    <w:sectPr w:rsidR="00305F02" w:rsidRPr="00CC7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374F" w14:textId="77777777" w:rsidR="009E74CC" w:rsidRDefault="009E74CC" w:rsidP="000A00F9">
      <w:r>
        <w:separator/>
      </w:r>
    </w:p>
  </w:endnote>
  <w:endnote w:type="continuationSeparator" w:id="0">
    <w:p w14:paraId="48B7F1BE" w14:textId="77777777" w:rsidR="009E74CC" w:rsidRDefault="009E74CC" w:rsidP="000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CB46" w14:textId="77777777" w:rsidR="009E74CC" w:rsidRDefault="009E74CC" w:rsidP="000A00F9">
      <w:r>
        <w:separator/>
      </w:r>
    </w:p>
  </w:footnote>
  <w:footnote w:type="continuationSeparator" w:id="0">
    <w:p w14:paraId="364B58B4" w14:textId="77777777" w:rsidR="009E74CC" w:rsidRDefault="009E74CC" w:rsidP="000A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1CD"/>
    <w:multiLevelType w:val="hybridMultilevel"/>
    <w:tmpl w:val="C82265D2"/>
    <w:lvl w:ilvl="0" w:tplc="7B90D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E551E5"/>
    <w:multiLevelType w:val="hybridMultilevel"/>
    <w:tmpl w:val="E77AEA68"/>
    <w:lvl w:ilvl="0" w:tplc="5F9C7C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894476"/>
    <w:multiLevelType w:val="hybridMultilevel"/>
    <w:tmpl w:val="F2C047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0234D0"/>
    <w:multiLevelType w:val="hybridMultilevel"/>
    <w:tmpl w:val="E392FD06"/>
    <w:lvl w:ilvl="0" w:tplc="B9E65C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654260EC"/>
    <w:multiLevelType w:val="hybridMultilevel"/>
    <w:tmpl w:val="630A04BA"/>
    <w:lvl w:ilvl="0" w:tplc="A0F67E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default"/>
      </w:rPr>
    </w:lvl>
    <w:lvl w:ilvl="1" w:tplc="97B806A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03791442">
    <w:abstractNumId w:val="3"/>
  </w:num>
  <w:num w:numId="2" w16cid:durableId="352650578">
    <w:abstractNumId w:val="2"/>
  </w:num>
  <w:num w:numId="3" w16cid:durableId="1138257179">
    <w:abstractNumId w:val="0"/>
  </w:num>
  <w:num w:numId="4" w16cid:durableId="2118408430">
    <w:abstractNumId w:val="1"/>
  </w:num>
  <w:num w:numId="5" w16cid:durableId="1940018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02"/>
    <w:rsid w:val="00087C90"/>
    <w:rsid w:val="000A00F9"/>
    <w:rsid w:val="000D299E"/>
    <w:rsid w:val="000E3DC3"/>
    <w:rsid w:val="001005CB"/>
    <w:rsid w:val="00187D0E"/>
    <w:rsid w:val="00305F02"/>
    <w:rsid w:val="004053F0"/>
    <w:rsid w:val="00460B69"/>
    <w:rsid w:val="00482E6B"/>
    <w:rsid w:val="00565A88"/>
    <w:rsid w:val="0065696E"/>
    <w:rsid w:val="006F12AE"/>
    <w:rsid w:val="007363D2"/>
    <w:rsid w:val="00745C61"/>
    <w:rsid w:val="00964735"/>
    <w:rsid w:val="00992D3B"/>
    <w:rsid w:val="009E74CC"/>
    <w:rsid w:val="00A83104"/>
    <w:rsid w:val="00AC1BA5"/>
    <w:rsid w:val="00BE124B"/>
    <w:rsid w:val="00C9448B"/>
    <w:rsid w:val="00CC74AD"/>
    <w:rsid w:val="00CF2EB3"/>
    <w:rsid w:val="00E33E54"/>
    <w:rsid w:val="00E82555"/>
    <w:rsid w:val="00E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4A95C"/>
  <w15:docId w15:val="{C7B4E3EE-8967-438B-ADC4-646CDD3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F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305F0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4">
    <w:name w:val="Hyperlink"/>
    <w:basedOn w:val="a0"/>
    <w:rsid w:val="00305F02"/>
    <w:rPr>
      <w:color w:val="0000FF"/>
      <w:u w:val="single"/>
    </w:rPr>
  </w:style>
  <w:style w:type="paragraph" w:styleId="a5">
    <w:name w:val="footer"/>
    <w:basedOn w:val="a"/>
    <w:link w:val="a6"/>
    <w:rsid w:val="00305F0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305F02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05F02"/>
    <w:pPr>
      <w:snapToGrid w:val="0"/>
      <w:spacing w:line="480" w:lineRule="exact"/>
      <w:ind w:left="746" w:hanging="746"/>
    </w:pPr>
    <w:rPr>
      <w:rFonts w:ascii="標楷體" w:eastAsia="標楷體" w:hAnsi="標楷體" w:cs="Times New Roman"/>
      <w:szCs w:val="20"/>
    </w:rPr>
  </w:style>
  <w:style w:type="character" w:customStyle="1" w:styleId="30">
    <w:name w:val="本文縮排 3 字元"/>
    <w:basedOn w:val="a0"/>
    <w:link w:val="3"/>
    <w:rsid w:val="00305F02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A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0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bluepure</dc:creator>
  <cp:lastModifiedBy>維楷 邱</cp:lastModifiedBy>
  <cp:revision>2</cp:revision>
  <dcterms:created xsi:type="dcterms:W3CDTF">2025-01-20T04:36:00Z</dcterms:created>
  <dcterms:modified xsi:type="dcterms:W3CDTF">2025-01-20T04:36:00Z</dcterms:modified>
</cp:coreProperties>
</file>